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34534" w14:textId="369192B6" w:rsidR="001774A5" w:rsidRPr="00387D59" w:rsidRDefault="001774A5" w:rsidP="001774A5">
      <w:pPr>
        <w:jc w:val="center"/>
        <w:rPr>
          <w:b/>
          <w:u w:val="single"/>
        </w:rPr>
      </w:pPr>
      <w:r>
        <w:rPr>
          <w:b/>
          <w:u w:val="single"/>
        </w:rPr>
        <w:t>RF</w:t>
      </w:r>
      <w:r w:rsidR="004D4820">
        <w:rPr>
          <w:b/>
          <w:u w:val="single"/>
        </w:rPr>
        <w:t>P</w:t>
      </w:r>
      <w:r>
        <w:rPr>
          <w:b/>
          <w:u w:val="single"/>
        </w:rPr>
        <w:t xml:space="preserve"> QUESTION RESPONSES</w:t>
      </w:r>
    </w:p>
    <w:p w14:paraId="0D84F7D9" w14:textId="3376E19F" w:rsidR="001774A5" w:rsidRPr="00387D59" w:rsidRDefault="005B6972" w:rsidP="001774A5">
      <w:pPr>
        <w:jc w:val="center"/>
        <w:rPr>
          <w:b/>
        </w:rPr>
      </w:pPr>
      <w:r>
        <w:rPr>
          <w:b/>
        </w:rPr>
        <w:t>LOS CERRITOS WETLANDS AUTHORITY</w:t>
      </w:r>
    </w:p>
    <w:p w14:paraId="08B9CD12" w14:textId="513DD9DC" w:rsidR="00C45597" w:rsidRDefault="001774A5" w:rsidP="00C45597">
      <w:r w:rsidRPr="00387D59">
        <w:t xml:space="preserve"> </w:t>
      </w:r>
    </w:p>
    <w:p w14:paraId="5AFCEC5A" w14:textId="629558D0" w:rsidR="00C45597" w:rsidRPr="00A11AC4" w:rsidRDefault="00C45597" w:rsidP="00A11AC4">
      <w:pPr>
        <w:jc w:val="center"/>
        <w:rPr>
          <w:b/>
          <w:bCs/>
        </w:rPr>
      </w:pPr>
      <w:r w:rsidRPr="00A11AC4">
        <w:rPr>
          <w:b/>
          <w:bCs/>
        </w:rPr>
        <w:t xml:space="preserve">REQUEST FOR </w:t>
      </w:r>
      <w:r w:rsidR="004D4820">
        <w:rPr>
          <w:b/>
          <w:bCs/>
        </w:rPr>
        <w:t>PROPOSAL</w:t>
      </w:r>
      <w:r w:rsidRPr="00A11AC4">
        <w:rPr>
          <w:b/>
          <w:bCs/>
        </w:rPr>
        <w:t xml:space="preserve"> (RF</w:t>
      </w:r>
      <w:r w:rsidR="004D4820">
        <w:rPr>
          <w:b/>
          <w:bCs/>
        </w:rPr>
        <w:t>P</w:t>
      </w:r>
      <w:r w:rsidRPr="00A11AC4">
        <w:rPr>
          <w:b/>
          <w:bCs/>
        </w:rPr>
        <w:t xml:space="preserve">) – BID NO. </w:t>
      </w:r>
      <w:r w:rsidR="0051741B" w:rsidRPr="005B6972">
        <w:rPr>
          <w:b/>
          <w:bCs/>
        </w:rPr>
        <w:t>202</w:t>
      </w:r>
      <w:r w:rsidR="007C498B">
        <w:rPr>
          <w:b/>
          <w:bCs/>
        </w:rPr>
        <w:t>5-001</w:t>
      </w:r>
    </w:p>
    <w:p w14:paraId="48007030" w14:textId="6A594C9C" w:rsidR="004D4820" w:rsidRPr="00B35A99" w:rsidRDefault="007C498B" w:rsidP="004D4820">
      <w:pPr>
        <w:jc w:val="center"/>
        <w:rPr>
          <w:b/>
          <w:bCs/>
        </w:rPr>
      </w:pPr>
      <w:r>
        <w:rPr>
          <w:b/>
          <w:bCs/>
        </w:rPr>
        <w:t xml:space="preserve">LABOR COMPLIANCE </w:t>
      </w:r>
      <w:r w:rsidR="005B6972">
        <w:rPr>
          <w:b/>
          <w:bCs/>
        </w:rPr>
        <w:t>SERVICES FOR THE SOUTHERN LOS CERRITOS WETLANDS RESTORATION PROJECT</w:t>
      </w:r>
    </w:p>
    <w:p w14:paraId="1F5C41AA" w14:textId="77777777" w:rsidR="0051741B" w:rsidRDefault="0051741B" w:rsidP="00C45597">
      <w:pPr>
        <w:jc w:val="center"/>
      </w:pPr>
    </w:p>
    <w:p w14:paraId="75135DA9" w14:textId="5A422E46" w:rsidR="001C5E5B" w:rsidRDefault="00D27E5C">
      <w:r w:rsidRPr="00D27E5C">
        <w:rPr>
          <w:lang w:val="en-US"/>
        </w:rPr>
        <w:t xml:space="preserve">As stated in the RFP released on October 16, 2025, questions regarding this RFP must be received no later than 5:00pm on October 23, 2025.    </w:t>
      </w:r>
    </w:p>
    <w:p w14:paraId="429832D4" w14:textId="77777777" w:rsidR="001C5E5B" w:rsidRDefault="001C5E5B"/>
    <w:p w14:paraId="19A2F394" w14:textId="6EB5BD01" w:rsidR="001774A5" w:rsidRDefault="00D27E5C">
      <w:bookmarkStart w:id="0" w:name="_Hlk192484991"/>
      <w:r w:rsidRPr="00D27E5C">
        <w:rPr>
          <w:lang w:val="en-US"/>
        </w:rPr>
        <w:t xml:space="preserve">Similar questions have been compiled as one question, and questions may have been paraphrased by the LCWA for clarity.  </w:t>
      </w:r>
      <w:bookmarkEnd w:id="0"/>
      <w:r w:rsidRPr="00D27E5C">
        <w:rPr>
          <w:lang w:val="en-US"/>
        </w:rPr>
        <w:t>It is the responsibility of the Proposer to access the LCWA website for any changes or Addenda that may be posted.</w:t>
      </w:r>
    </w:p>
    <w:p w14:paraId="21B8E025" w14:textId="257F800B" w:rsidR="001774A5" w:rsidRDefault="001774A5" w:rsidP="001774A5"/>
    <w:p w14:paraId="2AF0684C" w14:textId="77777777" w:rsidR="00B56D98" w:rsidRDefault="00B56D98" w:rsidP="001774A5">
      <w:pPr>
        <w:rPr>
          <w:b/>
          <w:bCs/>
        </w:rPr>
      </w:pPr>
    </w:p>
    <w:p w14:paraId="28D98BBA" w14:textId="77777777" w:rsidR="009D349A" w:rsidRPr="009D349A" w:rsidRDefault="00330FD9" w:rsidP="006A6AED">
      <w:pPr>
        <w:jc w:val="both"/>
        <w:rPr>
          <w:b/>
          <w:bCs/>
          <w:lang w:val="en-US"/>
        </w:rPr>
      </w:pPr>
      <w:r>
        <w:rPr>
          <w:b/>
          <w:bCs/>
        </w:rPr>
        <w:t>Q1</w:t>
      </w:r>
      <w:r w:rsidR="0076202F">
        <w:rPr>
          <w:b/>
          <w:bCs/>
        </w:rPr>
        <w:t>.</w:t>
      </w:r>
      <w:r>
        <w:rPr>
          <w:b/>
          <w:bCs/>
        </w:rPr>
        <w:t xml:space="preserve">  </w:t>
      </w:r>
      <w:r w:rsidR="009D349A" w:rsidRPr="009D349A">
        <w:rPr>
          <w:b/>
          <w:bCs/>
          <w:lang w:val="en-US"/>
        </w:rPr>
        <w:t>How many prime contractors and subcontractors are anticipated for Phase 1?</w:t>
      </w:r>
    </w:p>
    <w:p w14:paraId="7BB06A11" w14:textId="3CD222E8" w:rsidR="00330FD9" w:rsidRDefault="00330FD9" w:rsidP="0076202F">
      <w:pPr>
        <w:jc w:val="both"/>
        <w:rPr>
          <w:b/>
          <w:bCs/>
        </w:rPr>
      </w:pPr>
    </w:p>
    <w:p w14:paraId="5322BB16" w14:textId="214187EC" w:rsidR="001F1F26" w:rsidRDefault="00D27E5C" w:rsidP="00D27E5C">
      <w:pPr>
        <w:jc w:val="both"/>
        <w:rPr>
          <w:lang w:val="en-US"/>
        </w:rPr>
      </w:pPr>
      <w:r w:rsidRPr="00D27E5C">
        <w:rPr>
          <w:lang w:val="en-US"/>
        </w:rPr>
        <w:t xml:space="preserve">A1.  A general contractor has been selected for Phase 1 of the project, utilizing nine (9) subcontractors. The general contractor’s bidder’s declaration form listing its intended subcontractors can be found in Exhibit C of </w:t>
      </w:r>
      <w:hyperlink r:id="rId8">
        <w:r w:rsidRPr="00D27E5C">
          <w:rPr>
            <w:rStyle w:val="Hyperlink"/>
            <w:lang w:val="en-US"/>
          </w:rPr>
          <w:t>this board report.</w:t>
        </w:r>
      </w:hyperlink>
      <w:r w:rsidRPr="00D27E5C">
        <w:rPr>
          <w:lang w:val="en-US"/>
        </w:rPr>
        <w:t xml:space="preserve"> </w:t>
      </w:r>
    </w:p>
    <w:p w14:paraId="33FD6663" w14:textId="77777777" w:rsidR="005B6972" w:rsidRDefault="005B6972" w:rsidP="005B6972">
      <w:pPr>
        <w:jc w:val="both"/>
      </w:pPr>
    </w:p>
    <w:p w14:paraId="0C1C0BB1" w14:textId="77777777" w:rsidR="005B6972" w:rsidRDefault="005B6972" w:rsidP="005B6972">
      <w:pPr>
        <w:jc w:val="both"/>
      </w:pPr>
    </w:p>
    <w:p w14:paraId="6C926629" w14:textId="77777777" w:rsidR="009D349A" w:rsidRDefault="00D27E5C" w:rsidP="00D27E5C">
      <w:pPr>
        <w:spacing w:before="100" w:beforeAutospacing="1" w:after="100" w:afterAutospacing="1" w:line="240" w:lineRule="auto"/>
        <w:rPr>
          <w:rFonts w:eastAsia="Times New Roman"/>
          <w:b/>
          <w:bCs/>
          <w:lang w:val="en-US"/>
        </w:rPr>
      </w:pPr>
      <w:r w:rsidRPr="00D27E5C">
        <w:rPr>
          <w:b/>
          <w:bCs/>
          <w:lang w:val="en-US"/>
        </w:rPr>
        <w:t>Q2.</w:t>
      </w:r>
      <w:r w:rsidR="005B6972">
        <w:tab/>
      </w:r>
      <w:r w:rsidRPr="00D27E5C">
        <w:rPr>
          <w:rFonts w:eastAsia="Times New Roman"/>
          <w:b/>
          <w:bCs/>
          <w:lang w:val="en-US"/>
        </w:rPr>
        <w:t>Will the consultant be responsible for confirming compliance prior to payment approvals, or will LCWA perform that step internally?</w:t>
      </w:r>
    </w:p>
    <w:p w14:paraId="40784554" w14:textId="02E4A254" w:rsidR="00D27E5C" w:rsidRDefault="00D27E5C" w:rsidP="00D27E5C">
      <w:pPr>
        <w:spacing w:beforeAutospacing="1" w:afterAutospacing="1" w:line="240" w:lineRule="auto"/>
        <w:rPr>
          <w:rFonts w:eastAsia="Times New Roman"/>
          <w:b/>
          <w:bCs/>
          <w:lang w:val="en-US"/>
        </w:rPr>
      </w:pPr>
    </w:p>
    <w:p w14:paraId="5BA34306" w14:textId="2F23A7AE" w:rsidR="005B6972" w:rsidRDefault="009D349A" w:rsidP="005B6972">
      <w:pPr>
        <w:jc w:val="both"/>
        <w:rPr>
          <w:lang w:val="en-US"/>
        </w:rPr>
      </w:pPr>
      <w:r>
        <w:rPr>
          <w:lang w:val="en-US"/>
        </w:rPr>
        <w:t>A2.</w:t>
      </w:r>
      <w:r w:rsidR="00633D74">
        <w:rPr>
          <w:lang w:val="en-US"/>
        </w:rPr>
        <w:t xml:space="preserve"> The consultant will be responsible for confirming compliance prior to payment approvals. </w:t>
      </w:r>
    </w:p>
    <w:p w14:paraId="40C856B2" w14:textId="77777777" w:rsidR="002B1FE1" w:rsidRDefault="002B1FE1" w:rsidP="005B6972">
      <w:pPr>
        <w:jc w:val="both"/>
        <w:rPr>
          <w:lang w:val="en-US"/>
        </w:rPr>
      </w:pPr>
    </w:p>
    <w:p w14:paraId="2D1FC96B" w14:textId="77777777" w:rsidR="002B1FE1" w:rsidRPr="009D349A" w:rsidRDefault="002B1FE1" w:rsidP="005B6972">
      <w:pPr>
        <w:jc w:val="both"/>
        <w:rPr>
          <w:lang w:val="en-US"/>
        </w:rPr>
      </w:pPr>
    </w:p>
    <w:p w14:paraId="3267BA0D" w14:textId="182D08F6" w:rsidR="009D349A" w:rsidRPr="002B1FE1" w:rsidRDefault="00D27E5C" w:rsidP="00D27E5C">
      <w:pPr>
        <w:spacing w:before="100" w:beforeAutospacing="1" w:after="100" w:afterAutospacing="1" w:line="240" w:lineRule="auto"/>
        <w:rPr>
          <w:rFonts w:eastAsia="Times New Roman"/>
          <w:b/>
          <w:bCs/>
        </w:rPr>
      </w:pPr>
      <w:r w:rsidRPr="00D27E5C">
        <w:rPr>
          <w:b/>
          <w:bCs/>
        </w:rPr>
        <w:t>Q3.</w:t>
      </w:r>
      <w:r w:rsidR="009D349A">
        <w:tab/>
      </w:r>
      <w:r w:rsidRPr="00D27E5C">
        <w:rPr>
          <w:rFonts w:eastAsia="Times New Roman"/>
          <w:b/>
          <w:bCs/>
        </w:rPr>
        <w:t>Does the not-to-exceed $50,000 contract amount include reimbursable travel expenses?</w:t>
      </w:r>
    </w:p>
    <w:p w14:paraId="07318321" w14:textId="5B80AFF3" w:rsidR="00D27E5C" w:rsidRDefault="00D27E5C" w:rsidP="00D27E5C">
      <w:pPr>
        <w:spacing w:beforeAutospacing="1" w:afterAutospacing="1" w:line="240" w:lineRule="auto"/>
        <w:rPr>
          <w:rFonts w:eastAsia="Times New Roman"/>
          <w:b/>
          <w:bCs/>
        </w:rPr>
      </w:pPr>
    </w:p>
    <w:p w14:paraId="466CD05D" w14:textId="1E12C36A" w:rsidR="005B6972" w:rsidRDefault="00D27E5C" w:rsidP="005B6972">
      <w:pPr>
        <w:jc w:val="both"/>
      </w:pPr>
      <w:r w:rsidRPr="00D27E5C">
        <w:rPr>
          <w:lang w:val="en-US"/>
        </w:rPr>
        <w:t>A3.</w:t>
      </w:r>
      <w:r w:rsidR="005B6972">
        <w:tab/>
      </w:r>
      <w:r w:rsidRPr="00D27E5C">
        <w:rPr>
          <w:lang w:val="en-US"/>
        </w:rPr>
        <w:t xml:space="preserve">Yes, expenses such as mileage and printing may be eligible for reimbursement so long as detailed supporting documentation are submitted with invoices and reimbursements adhere to these guidelines: </w:t>
      </w:r>
      <w:hyperlink r:id="rId9">
        <w:r w:rsidRPr="00D27E5C">
          <w:rPr>
            <w:rStyle w:val="Hyperlink"/>
            <w:lang w:val="en-US"/>
          </w:rPr>
          <w:t>https://www.calhr.ca.gov/employees/pages/travelreimbursements.aspx</w:t>
        </w:r>
      </w:hyperlink>
      <w:r w:rsidRPr="00D27E5C">
        <w:rPr>
          <w:lang w:val="en-US"/>
        </w:rPr>
        <w:t xml:space="preserve">. It is expected for the consultant to be </w:t>
      </w:r>
      <w:proofErr w:type="gramStart"/>
      <w:r w:rsidRPr="00D27E5C">
        <w:rPr>
          <w:lang w:val="en-US"/>
        </w:rPr>
        <w:t>locally-based</w:t>
      </w:r>
      <w:proofErr w:type="gramEnd"/>
      <w:r w:rsidRPr="00D27E5C">
        <w:rPr>
          <w:lang w:val="en-US"/>
        </w:rPr>
        <w:t>, and mileage should only be considered for special situations where the consultant must travel to locations other than the project site.</w:t>
      </w:r>
    </w:p>
    <w:p w14:paraId="199FD61A" w14:textId="77777777" w:rsidR="002B1FE1" w:rsidRDefault="002B1FE1" w:rsidP="005B6972">
      <w:pPr>
        <w:jc w:val="both"/>
      </w:pPr>
    </w:p>
    <w:p w14:paraId="338BC7A5" w14:textId="77777777" w:rsidR="002B1FE1" w:rsidRDefault="002B1FE1" w:rsidP="005B6972">
      <w:pPr>
        <w:jc w:val="both"/>
      </w:pPr>
    </w:p>
    <w:p w14:paraId="19857B2F" w14:textId="43DE84E9" w:rsidR="009D349A" w:rsidRPr="006A6AED" w:rsidRDefault="00D27E5C" w:rsidP="006A6AED">
      <w:pPr>
        <w:jc w:val="both"/>
        <w:rPr>
          <w:b/>
          <w:bCs/>
          <w:lang w:val="en-US"/>
        </w:rPr>
      </w:pPr>
      <w:r w:rsidRPr="00D27E5C">
        <w:rPr>
          <w:b/>
          <w:bCs/>
        </w:rPr>
        <w:lastRenderedPageBreak/>
        <w:t>Q4.</w:t>
      </w:r>
      <w:r w:rsidR="005B6972">
        <w:tab/>
      </w:r>
      <w:r w:rsidRPr="00D27E5C">
        <w:rPr>
          <w:b/>
          <w:bCs/>
          <w:lang w:val="en-US"/>
        </w:rPr>
        <w:t>Is the Authority requiring the awarded firm to utilize a system for managing Labor Compliance (i.e., LCP Tracker, etc.) or will the awarded firm be allowed to have the contractors mail in their original CPRs for review and maintain submitted documents in original hard files?</w:t>
      </w:r>
    </w:p>
    <w:p w14:paraId="5FD9CFAD" w14:textId="30D389E0" w:rsidR="005B6972" w:rsidRDefault="005B6972" w:rsidP="005B6972">
      <w:pPr>
        <w:jc w:val="both"/>
        <w:rPr>
          <w:lang w:val="en-US"/>
        </w:rPr>
      </w:pPr>
    </w:p>
    <w:p w14:paraId="150E9744" w14:textId="2B3B06AF" w:rsidR="006A6AED" w:rsidRPr="009D349A" w:rsidRDefault="00D27E5C" w:rsidP="005B6972">
      <w:pPr>
        <w:jc w:val="both"/>
        <w:rPr>
          <w:lang w:val="en-US"/>
        </w:rPr>
      </w:pPr>
      <w:r w:rsidRPr="00D27E5C">
        <w:rPr>
          <w:lang w:val="en-US"/>
        </w:rPr>
        <w:t>A4.</w:t>
      </w:r>
      <w:r w:rsidR="006A6AED">
        <w:tab/>
      </w:r>
      <w:r w:rsidRPr="00D27E5C">
        <w:rPr>
          <w:lang w:val="en-US"/>
        </w:rPr>
        <w:t>The Authority does not have a requirement to utilize any specific Labor Compliance software or system.</w:t>
      </w:r>
    </w:p>
    <w:p w14:paraId="511D1C62" w14:textId="77777777" w:rsidR="009D349A" w:rsidRDefault="009D349A" w:rsidP="005B6972">
      <w:pPr>
        <w:jc w:val="both"/>
      </w:pPr>
    </w:p>
    <w:p w14:paraId="1DF56AF7" w14:textId="77777777" w:rsidR="009D349A" w:rsidRDefault="009D349A" w:rsidP="005B6972">
      <w:pPr>
        <w:jc w:val="both"/>
        <w:rPr>
          <w:lang w:val="en-US"/>
        </w:rPr>
      </w:pPr>
    </w:p>
    <w:p w14:paraId="1B0E2E8D" w14:textId="77777777" w:rsidR="006A6AED" w:rsidRDefault="006A6AED" w:rsidP="005B6972">
      <w:pPr>
        <w:jc w:val="both"/>
        <w:rPr>
          <w:lang w:val="en-US"/>
        </w:rPr>
      </w:pPr>
    </w:p>
    <w:p w14:paraId="16018D5E" w14:textId="71F6F9BB" w:rsidR="009D349A" w:rsidRDefault="00D27E5C" w:rsidP="00D27E5C">
      <w:pPr>
        <w:spacing w:before="100" w:beforeAutospacing="1" w:after="100" w:afterAutospacing="1" w:line="240" w:lineRule="auto"/>
        <w:rPr>
          <w:rFonts w:eastAsia="Times New Roman"/>
          <w:b/>
          <w:bCs/>
          <w:color w:val="000000"/>
        </w:rPr>
      </w:pPr>
      <w:r w:rsidRPr="00D27E5C">
        <w:rPr>
          <w:b/>
          <w:bCs/>
          <w:lang w:val="en-US"/>
        </w:rPr>
        <w:t>Q5.</w:t>
      </w:r>
      <w:r w:rsidR="005B6972">
        <w:tab/>
      </w:r>
      <w:r w:rsidRPr="00D27E5C">
        <w:rPr>
          <w:rFonts w:eastAsia="Times New Roman"/>
          <w:b/>
          <w:bCs/>
          <w:color w:val="000000" w:themeColor="text1"/>
        </w:rPr>
        <w:t>How much is the construction cost of this Project/Phase I? Based on the DIR website Project #20250605317, the project is currently reflected as $32,292,000; however, I was unsure if this was for Phase I or both phases combined.</w:t>
      </w:r>
    </w:p>
    <w:p w14:paraId="11D25CAD" w14:textId="77777777" w:rsidR="006A6AED" w:rsidRDefault="006A6AED" w:rsidP="006A6AED">
      <w:pPr>
        <w:spacing w:before="100" w:beforeAutospacing="1" w:after="100" w:afterAutospacing="1" w:line="240" w:lineRule="auto"/>
        <w:rPr>
          <w:rFonts w:eastAsia="Times New Roman"/>
          <w:b/>
          <w:bCs/>
          <w:color w:val="000000"/>
        </w:rPr>
      </w:pPr>
    </w:p>
    <w:p w14:paraId="23E09EDC" w14:textId="66B607DE" w:rsidR="006A6AED" w:rsidRPr="006A6AED" w:rsidRDefault="00D27E5C" w:rsidP="00D27E5C">
      <w:pPr>
        <w:spacing w:before="100" w:beforeAutospacing="1" w:after="100" w:afterAutospacing="1" w:line="240" w:lineRule="auto"/>
        <w:rPr>
          <w:rFonts w:ascii="Aptos" w:eastAsia="Times New Roman" w:hAnsi="Aptos" w:cs="Aptos"/>
          <w:color w:val="000000"/>
          <w:lang w:val="en-US"/>
        </w:rPr>
      </w:pPr>
      <w:r w:rsidRPr="00D27E5C">
        <w:rPr>
          <w:rFonts w:eastAsia="Times New Roman"/>
          <w:color w:val="000000" w:themeColor="text1"/>
        </w:rPr>
        <w:t>A5.</w:t>
      </w:r>
      <w:r w:rsidR="006A6AED">
        <w:tab/>
      </w:r>
      <w:r w:rsidRPr="00D27E5C">
        <w:rPr>
          <w:rFonts w:eastAsia="Times New Roman"/>
          <w:color w:val="000000" w:themeColor="text1"/>
        </w:rPr>
        <w:t>The construction budget for Phase 1 of this project is $21,555,000.</w:t>
      </w:r>
    </w:p>
    <w:p w14:paraId="512F2AAB" w14:textId="54991E1F" w:rsidR="005B6972" w:rsidRPr="005B6972" w:rsidRDefault="005B6972" w:rsidP="005B6972">
      <w:pPr>
        <w:jc w:val="both"/>
        <w:rPr>
          <w:lang w:val="en-US"/>
        </w:rPr>
      </w:pPr>
    </w:p>
    <w:p w14:paraId="0A37876F" w14:textId="77777777" w:rsidR="005B6972" w:rsidRDefault="005B6972" w:rsidP="005B6972">
      <w:pPr>
        <w:jc w:val="both"/>
        <w:rPr>
          <w:lang w:val="en-US"/>
        </w:rPr>
      </w:pPr>
    </w:p>
    <w:p w14:paraId="2240585A" w14:textId="2DEA3D10" w:rsidR="009D349A" w:rsidRDefault="00D27E5C" w:rsidP="00D27E5C">
      <w:pPr>
        <w:spacing w:before="100" w:beforeAutospacing="1" w:after="100" w:afterAutospacing="1" w:line="240" w:lineRule="auto"/>
        <w:rPr>
          <w:rFonts w:eastAsia="Times New Roman"/>
          <w:b/>
          <w:bCs/>
          <w:color w:val="000000"/>
        </w:rPr>
      </w:pPr>
      <w:r w:rsidRPr="00D27E5C">
        <w:rPr>
          <w:b/>
          <w:bCs/>
          <w:lang w:val="en-US"/>
        </w:rPr>
        <w:t>Q6.</w:t>
      </w:r>
      <w:r w:rsidR="005B6972">
        <w:tab/>
      </w:r>
      <w:r w:rsidRPr="00D27E5C">
        <w:rPr>
          <w:rFonts w:eastAsia="Times New Roman"/>
          <w:b/>
          <w:bCs/>
          <w:color w:val="000000" w:themeColor="text1"/>
        </w:rPr>
        <w:t>What is the funding source of the project? Will any Federal funds be included in this project? </w:t>
      </w:r>
    </w:p>
    <w:p w14:paraId="0A3039EF" w14:textId="77777777" w:rsidR="006A6AED" w:rsidRDefault="006A6AED" w:rsidP="00D27E5C">
      <w:pPr>
        <w:spacing w:before="100" w:beforeAutospacing="1" w:after="100" w:afterAutospacing="1" w:line="240" w:lineRule="auto"/>
        <w:ind w:left="720"/>
        <w:rPr>
          <w:b/>
          <w:bCs/>
          <w:color w:val="000000"/>
          <w:lang w:val="en-US"/>
        </w:rPr>
      </w:pPr>
    </w:p>
    <w:p w14:paraId="4ECF4154" w14:textId="239125E6" w:rsidR="006A6AED" w:rsidRPr="006A6AED" w:rsidRDefault="00D27E5C" w:rsidP="00D27E5C">
      <w:pPr>
        <w:spacing w:before="100" w:beforeAutospacing="1" w:after="100" w:afterAutospacing="1" w:line="240" w:lineRule="auto"/>
        <w:rPr>
          <w:color w:val="000000"/>
          <w:lang w:val="en-US"/>
        </w:rPr>
      </w:pPr>
      <w:r w:rsidRPr="00D27E5C">
        <w:rPr>
          <w:color w:val="000000" w:themeColor="text1"/>
          <w:lang w:val="en-US"/>
        </w:rPr>
        <w:t>A6.</w:t>
      </w:r>
      <w:r w:rsidR="006A6AED">
        <w:tab/>
      </w:r>
      <w:r w:rsidRPr="00D27E5C">
        <w:rPr>
          <w:color w:val="000000" w:themeColor="text1"/>
          <w:lang w:val="en-US"/>
        </w:rPr>
        <w:t xml:space="preserve">This project is funded through grants provided by the State Coastal Conservancy and Ocean Protection Council (state agencies), and in small part by grants from private entities. There are no federal funds supporting the project or its implementation. </w:t>
      </w:r>
    </w:p>
    <w:p w14:paraId="15314275" w14:textId="320B6D48" w:rsidR="005B6972" w:rsidRPr="005B6972" w:rsidRDefault="005B6972" w:rsidP="005B6972">
      <w:pPr>
        <w:jc w:val="both"/>
        <w:rPr>
          <w:lang w:val="en-US"/>
        </w:rPr>
      </w:pPr>
    </w:p>
    <w:p w14:paraId="773FB42A" w14:textId="77777777" w:rsidR="005B6972" w:rsidRDefault="005B6972" w:rsidP="005B6972">
      <w:pPr>
        <w:jc w:val="both"/>
        <w:rPr>
          <w:lang w:val="en-US"/>
        </w:rPr>
      </w:pPr>
    </w:p>
    <w:p w14:paraId="69E6CD3B" w14:textId="6AD5A6C7" w:rsidR="006A6AED" w:rsidRDefault="00D27E5C" w:rsidP="00D27E5C">
      <w:pPr>
        <w:spacing w:before="100" w:beforeAutospacing="1" w:after="100" w:afterAutospacing="1" w:line="240" w:lineRule="auto"/>
        <w:rPr>
          <w:rFonts w:eastAsia="Times New Roman"/>
          <w:b/>
          <w:bCs/>
          <w:color w:val="000000"/>
        </w:rPr>
      </w:pPr>
      <w:r w:rsidRPr="00D27E5C">
        <w:rPr>
          <w:b/>
          <w:bCs/>
          <w:lang w:val="en-US"/>
        </w:rPr>
        <w:t>Q7.</w:t>
      </w:r>
      <w:r w:rsidR="005B6972">
        <w:tab/>
      </w:r>
      <w:r w:rsidRPr="00D27E5C">
        <w:rPr>
          <w:rFonts w:eastAsia="Times New Roman"/>
          <w:b/>
          <w:bCs/>
          <w:color w:val="000000" w:themeColor="text1"/>
        </w:rPr>
        <w:t xml:space="preserve">If Federal funds are included in the project, will the Authority require this proposal to include Section 3 monitoring? If so, will this portion of the scope be included in the </w:t>
      </w:r>
      <w:proofErr w:type="gramStart"/>
      <w:r w:rsidRPr="00D27E5C">
        <w:rPr>
          <w:rFonts w:eastAsia="Times New Roman"/>
          <w:b/>
          <w:bCs/>
          <w:color w:val="000000" w:themeColor="text1"/>
        </w:rPr>
        <w:t>not to exceed</w:t>
      </w:r>
      <w:proofErr w:type="gramEnd"/>
      <w:r w:rsidRPr="00D27E5C">
        <w:rPr>
          <w:rFonts w:eastAsia="Times New Roman"/>
          <w:b/>
          <w:bCs/>
          <w:color w:val="000000" w:themeColor="text1"/>
        </w:rPr>
        <w:t xml:space="preserve"> budget of $50,000.</w:t>
      </w:r>
    </w:p>
    <w:p w14:paraId="43A710B0" w14:textId="77777777" w:rsidR="006A6AED" w:rsidRDefault="006A6AED" w:rsidP="006A6AED">
      <w:pPr>
        <w:spacing w:before="100" w:beforeAutospacing="1" w:after="100" w:afterAutospacing="1" w:line="240" w:lineRule="auto"/>
        <w:rPr>
          <w:rFonts w:eastAsia="Times New Roman"/>
          <w:b/>
          <w:bCs/>
          <w:color w:val="000000"/>
        </w:rPr>
      </w:pPr>
    </w:p>
    <w:p w14:paraId="2DF8FEB1" w14:textId="1076B39D" w:rsidR="006A6AED" w:rsidRPr="006A6AED" w:rsidRDefault="00D27E5C" w:rsidP="00D27E5C">
      <w:pPr>
        <w:spacing w:before="100" w:beforeAutospacing="1" w:after="100" w:afterAutospacing="1" w:line="240" w:lineRule="auto"/>
        <w:rPr>
          <w:rFonts w:ascii="Aptos" w:eastAsia="Times New Roman" w:hAnsi="Aptos" w:cs="Aptos"/>
          <w:color w:val="000000"/>
          <w:lang w:val="en-US"/>
        </w:rPr>
      </w:pPr>
      <w:r w:rsidRPr="00D27E5C">
        <w:rPr>
          <w:rFonts w:eastAsia="Times New Roman"/>
          <w:color w:val="000000" w:themeColor="text1"/>
        </w:rPr>
        <w:t>A7.</w:t>
      </w:r>
      <w:r w:rsidR="006A6AED">
        <w:tab/>
      </w:r>
      <w:r w:rsidRPr="00D27E5C">
        <w:rPr>
          <w:rFonts w:eastAsia="Times New Roman"/>
          <w:color w:val="000000" w:themeColor="text1"/>
        </w:rPr>
        <w:t xml:space="preserve">There are no federal funds supporting this project. </w:t>
      </w:r>
    </w:p>
    <w:p w14:paraId="5A94DC21" w14:textId="565C3669" w:rsidR="005B6972" w:rsidRDefault="005B6972" w:rsidP="006A6AED">
      <w:pPr>
        <w:jc w:val="both"/>
        <w:rPr>
          <w:lang w:val="en-US"/>
        </w:rPr>
      </w:pPr>
    </w:p>
    <w:p w14:paraId="2D06FA57" w14:textId="38B0EFDB" w:rsidR="006A6AED" w:rsidRDefault="00D27E5C" w:rsidP="00D27E5C">
      <w:pPr>
        <w:spacing w:before="100" w:beforeAutospacing="1" w:after="100" w:afterAutospacing="1" w:line="240" w:lineRule="auto"/>
        <w:rPr>
          <w:rFonts w:eastAsia="Times New Roman"/>
          <w:b/>
          <w:bCs/>
          <w:color w:val="000000"/>
        </w:rPr>
      </w:pPr>
      <w:r w:rsidRPr="00D27E5C">
        <w:rPr>
          <w:b/>
          <w:bCs/>
          <w:lang w:val="en-US"/>
        </w:rPr>
        <w:t>Q8.</w:t>
      </w:r>
      <w:r w:rsidR="005B6972">
        <w:tab/>
      </w:r>
      <w:r w:rsidRPr="00D27E5C">
        <w:rPr>
          <w:rFonts w:eastAsia="Times New Roman"/>
          <w:b/>
          <w:bCs/>
          <w:color w:val="000000" w:themeColor="text1"/>
        </w:rPr>
        <w:t>How many subcontractors did Philbin Construction Company disclose in their submitted bid?</w:t>
      </w:r>
    </w:p>
    <w:p w14:paraId="3667729D" w14:textId="5532DEAB" w:rsidR="00D27E5C" w:rsidRDefault="00D27E5C" w:rsidP="00D27E5C">
      <w:pPr>
        <w:spacing w:beforeAutospacing="1" w:afterAutospacing="1" w:line="240" w:lineRule="auto"/>
        <w:rPr>
          <w:rFonts w:eastAsia="Times New Roman"/>
          <w:b/>
          <w:bCs/>
          <w:color w:val="000000" w:themeColor="text1"/>
        </w:rPr>
      </w:pPr>
    </w:p>
    <w:p w14:paraId="6CA57BF5" w14:textId="136E15B5" w:rsidR="006A6AED" w:rsidRPr="006A6AED" w:rsidRDefault="00D27E5C" w:rsidP="00D27E5C">
      <w:pPr>
        <w:spacing w:before="100" w:beforeAutospacing="1" w:after="100" w:afterAutospacing="1" w:line="240" w:lineRule="auto"/>
        <w:rPr>
          <w:rFonts w:eastAsia="Times New Roman"/>
          <w:color w:val="000000"/>
          <w:lang w:val="en-US"/>
        </w:rPr>
      </w:pPr>
      <w:r w:rsidRPr="00D27E5C">
        <w:rPr>
          <w:rFonts w:eastAsia="Times New Roman"/>
          <w:color w:val="000000" w:themeColor="text1"/>
          <w:lang w:val="en-US"/>
        </w:rPr>
        <w:t>A8.</w:t>
      </w:r>
      <w:r w:rsidR="006A6AED">
        <w:tab/>
      </w:r>
      <w:r w:rsidRPr="00D27E5C">
        <w:rPr>
          <w:rFonts w:eastAsia="Times New Roman"/>
          <w:color w:val="000000" w:themeColor="text1"/>
          <w:lang w:val="en-US"/>
        </w:rPr>
        <w:t xml:space="preserve">Nine subcontractors were disclosed on the bidder's declaration form which can be viewed as </w:t>
      </w:r>
      <w:hyperlink r:id="rId10">
        <w:r w:rsidRPr="00D27E5C">
          <w:rPr>
            <w:rStyle w:val="Hyperlink"/>
            <w:rFonts w:eastAsia="Times New Roman"/>
            <w:lang w:val="en-US"/>
          </w:rPr>
          <w:t>Exhibit C of this board report.</w:t>
        </w:r>
      </w:hyperlink>
      <w:r w:rsidRPr="00D27E5C">
        <w:rPr>
          <w:rFonts w:eastAsia="Times New Roman"/>
          <w:color w:val="000000" w:themeColor="text1"/>
          <w:lang w:val="en-US"/>
        </w:rPr>
        <w:t xml:space="preserve"> </w:t>
      </w:r>
    </w:p>
    <w:p w14:paraId="3B4DCDCF" w14:textId="77777777" w:rsidR="006A6AED" w:rsidRDefault="006A6AED" w:rsidP="006A6AED">
      <w:pPr>
        <w:spacing w:before="100" w:beforeAutospacing="1" w:after="100" w:afterAutospacing="1" w:line="240" w:lineRule="auto"/>
        <w:rPr>
          <w:rFonts w:eastAsia="Times New Roman"/>
          <w:b/>
          <w:bCs/>
          <w:color w:val="000000"/>
        </w:rPr>
      </w:pPr>
    </w:p>
    <w:p w14:paraId="3A5F944F" w14:textId="638852B9" w:rsidR="00513B5F" w:rsidRDefault="00D27E5C" w:rsidP="00513B5F">
      <w:pPr>
        <w:jc w:val="both"/>
      </w:pPr>
      <w:r w:rsidRPr="00D27E5C">
        <w:rPr>
          <w:rFonts w:eastAsia="Times New Roman"/>
          <w:b/>
          <w:bCs/>
          <w:color w:val="000000" w:themeColor="text1"/>
          <w:lang w:val="en-US"/>
        </w:rPr>
        <w:t>Q9</w:t>
      </w:r>
      <w:r w:rsidRPr="00D27E5C">
        <w:rPr>
          <w:rFonts w:eastAsia="Times New Roman"/>
          <w:color w:val="000000" w:themeColor="text1"/>
          <w:lang w:val="en-US"/>
        </w:rPr>
        <w:t>.</w:t>
      </w:r>
      <w:r w:rsidR="006A6AED">
        <w:tab/>
      </w:r>
      <w:r w:rsidRPr="00D27E5C">
        <w:rPr>
          <w:b/>
          <w:bCs/>
          <w:lang w:val="en-US"/>
        </w:rPr>
        <w:t>Will you be holding an informational session and/or if you have already done so, do you have a recording?</w:t>
      </w:r>
    </w:p>
    <w:p w14:paraId="712E01CD" w14:textId="7FC96181" w:rsidR="006A6AED" w:rsidRPr="00513B5F" w:rsidRDefault="006A6AED" w:rsidP="006A6AED">
      <w:pPr>
        <w:spacing w:before="100" w:beforeAutospacing="1" w:after="100" w:afterAutospacing="1" w:line="240" w:lineRule="auto"/>
        <w:rPr>
          <w:rFonts w:ascii="Aptos" w:eastAsia="Times New Roman" w:hAnsi="Aptos" w:cs="Aptos"/>
          <w:color w:val="000000"/>
        </w:rPr>
      </w:pPr>
    </w:p>
    <w:p w14:paraId="2769E54B" w14:textId="2E98084B" w:rsidR="005B6972" w:rsidRDefault="00D27E5C" w:rsidP="006A6AED">
      <w:pPr>
        <w:jc w:val="both"/>
      </w:pPr>
      <w:r w:rsidRPr="00D27E5C">
        <w:rPr>
          <w:lang w:val="en-US"/>
        </w:rPr>
        <w:t>A9.</w:t>
      </w:r>
      <w:r w:rsidR="00633D74">
        <w:tab/>
      </w:r>
      <w:r w:rsidRPr="00D27E5C">
        <w:rPr>
          <w:lang w:val="en-US"/>
        </w:rPr>
        <w:t xml:space="preserve">While not specific to this RFP, several public information sessions about the project </w:t>
      </w:r>
      <w:proofErr w:type="gramStart"/>
      <w:r w:rsidRPr="00D27E5C">
        <w:rPr>
          <w:lang w:val="en-US"/>
        </w:rPr>
        <w:t>as a whole have</w:t>
      </w:r>
      <w:proofErr w:type="gramEnd"/>
      <w:r w:rsidRPr="00D27E5C">
        <w:rPr>
          <w:lang w:val="en-US"/>
        </w:rPr>
        <w:t xml:space="preserve"> been conducted throughout the design phase. The most recent of which can be viewed </w:t>
      </w:r>
      <w:hyperlink r:id="rId11">
        <w:r w:rsidRPr="00D27E5C">
          <w:rPr>
            <w:rStyle w:val="Hyperlink"/>
            <w:lang w:val="en-US"/>
          </w:rPr>
          <w:t>at this link.</w:t>
        </w:r>
      </w:hyperlink>
      <w:r w:rsidRPr="00D27E5C">
        <w:rPr>
          <w:lang w:val="en-US"/>
        </w:rPr>
        <w:t xml:space="preserve"> </w:t>
      </w:r>
    </w:p>
    <w:p w14:paraId="5742F471" w14:textId="77777777" w:rsidR="00945DBB" w:rsidRPr="00945DBB" w:rsidRDefault="00945DBB" w:rsidP="001774A5"/>
    <w:p w14:paraId="1DC42CAF" w14:textId="77777777" w:rsidR="00330FD9" w:rsidRDefault="00330FD9" w:rsidP="001774A5"/>
    <w:p w14:paraId="4DF8A254" w14:textId="4F811448" w:rsidR="000137BA" w:rsidRDefault="00D27E5C" w:rsidP="001774A5">
      <w:r w:rsidRPr="00D27E5C">
        <w:rPr>
          <w:lang w:val="en-US"/>
        </w:rPr>
        <w:t>All other terms and conditions set forth in the Request for Proposal shall remain in full force and effect.</w:t>
      </w:r>
    </w:p>
    <w:p w14:paraId="7CC27050" w14:textId="77777777" w:rsidR="001923B9" w:rsidRDefault="001923B9" w:rsidP="001774A5"/>
    <w:p w14:paraId="4AEA34E0" w14:textId="226B088E" w:rsidR="00AE7F8C" w:rsidRDefault="00D27E5C" w:rsidP="00D27E5C">
      <w:r>
        <w:t>Amanda Chan</w:t>
      </w:r>
    </w:p>
    <w:p w14:paraId="2B87A346" w14:textId="1E373F52" w:rsidR="00AE7F8C" w:rsidRDefault="00D27E5C" w:rsidP="00D27E5C">
      <w:r w:rsidRPr="00D27E5C">
        <w:rPr>
          <w:lang w:val="en-US"/>
        </w:rPr>
        <w:t>Co</w:t>
      </w:r>
      <w:proofErr w:type="spellStart"/>
      <w:r>
        <w:t>ntracts</w:t>
      </w:r>
      <w:proofErr w:type="spellEnd"/>
      <w:r>
        <w:t xml:space="preserve"> &amp; Budgets Analyst</w:t>
      </w:r>
    </w:p>
    <w:p w14:paraId="3BE5B59C" w14:textId="1D4A907F" w:rsidR="00AE7F8C" w:rsidRDefault="00D27E5C" w:rsidP="00D27E5C">
      <w:hyperlink r:id="rId12">
        <w:r w:rsidRPr="00D27E5C">
          <w:rPr>
            <w:rStyle w:val="Hyperlink"/>
          </w:rPr>
          <w:t>Achan@rmc.ca.gov</w:t>
        </w:r>
      </w:hyperlink>
      <w:r>
        <w:t xml:space="preserve"> </w:t>
      </w:r>
    </w:p>
    <w:sectPr w:rsidR="00AE7F8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D9A6" w14:textId="77777777" w:rsidR="009F5B5B" w:rsidRDefault="009F5B5B" w:rsidP="00F06495">
      <w:pPr>
        <w:spacing w:line="240" w:lineRule="auto"/>
      </w:pPr>
      <w:r>
        <w:separator/>
      </w:r>
    </w:p>
  </w:endnote>
  <w:endnote w:type="continuationSeparator" w:id="0">
    <w:p w14:paraId="2DDCF823" w14:textId="77777777" w:rsidR="009F5B5B" w:rsidRDefault="009F5B5B" w:rsidP="00F064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E281" w14:textId="50F31F31" w:rsidR="00633D74" w:rsidRDefault="00D071F7">
    <w:pPr>
      <w:pStyle w:val="Footer"/>
    </w:pPr>
    <w:r>
      <w:t>RF</w:t>
    </w:r>
    <w:r w:rsidR="000137BA">
      <w:t>P</w:t>
    </w:r>
    <w:r>
      <w:t xml:space="preserve"> Q&amp;A Posted on </w:t>
    </w:r>
    <w:r w:rsidR="00633D74">
      <w:t>October 27,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C20E5" w14:textId="77777777" w:rsidR="009F5B5B" w:rsidRDefault="009F5B5B" w:rsidP="00F06495">
      <w:pPr>
        <w:spacing w:line="240" w:lineRule="auto"/>
      </w:pPr>
      <w:r>
        <w:separator/>
      </w:r>
    </w:p>
  </w:footnote>
  <w:footnote w:type="continuationSeparator" w:id="0">
    <w:p w14:paraId="5947388C" w14:textId="77777777" w:rsidR="009F5B5B" w:rsidRDefault="009F5B5B" w:rsidP="00F064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77FF0"/>
    <w:multiLevelType w:val="hybridMultilevel"/>
    <w:tmpl w:val="F8A2DF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6B2AC1"/>
    <w:multiLevelType w:val="hybridMultilevel"/>
    <w:tmpl w:val="D7601FA6"/>
    <w:lvl w:ilvl="0" w:tplc="86FABE48">
      <w:start w:val="1"/>
      <w:numFmt w:val="decimal"/>
      <w:lvlText w:val="%1."/>
      <w:lvlJc w:val="left"/>
      <w:pPr>
        <w:ind w:left="360" w:hanging="360"/>
      </w:pPr>
      <w:rPr>
        <w:rFonts w:ascii="Calibri" w:eastAsia="Calibri" w:hAnsi="Calibri" w:cs="Calibri" w:hint="default"/>
        <w:b w:val="0"/>
        <w:bCs w:val="0"/>
        <w:i w:val="0"/>
        <w:iCs w:val="0"/>
        <w:spacing w:val="-1"/>
        <w:w w:val="107"/>
        <w:sz w:val="24"/>
        <w:szCs w:val="24"/>
        <w:lang w:val="en-US" w:eastAsia="en-US" w:bidi="ar-SA"/>
      </w:rPr>
    </w:lvl>
    <w:lvl w:ilvl="1" w:tplc="5E401D8A">
      <w:numFmt w:val="bullet"/>
      <w:lvlText w:val="•"/>
      <w:lvlJc w:val="left"/>
      <w:pPr>
        <w:ind w:left="1224" w:hanging="360"/>
      </w:pPr>
      <w:rPr>
        <w:rFonts w:hint="default"/>
        <w:lang w:val="en-US" w:eastAsia="en-US" w:bidi="ar-SA"/>
      </w:rPr>
    </w:lvl>
    <w:lvl w:ilvl="2" w:tplc="BC22011E">
      <w:numFmt w:val="bullet"/>
      <w:lvlText w:val="•"/>
      <w:lvlJc w:val="left"/>
      <w:pPr>
        <w:ind w:left="2088" w:hanging="360"/>
      </w:pPr>
      <w:rPr>
        <w:rFonts w:hint="default"/>
        <w:lang w:val="en-US" w:eastAsia="en-US" w:bidi="ar-SA"/>
      </w:rPr>
    </w:lvl>
    <w:lvl w:ilvl="3" w:tplc="3690BDA2">
      <w:numFmt w:val="bullet"/>
      <w:lvlText w:val="•"/>
      <w:lvlJc w:val="left"/>
      <w:pPr>
        <w:ind w:left="2952" w:hanging="360"/>
      </w:pPr>
      <w:rPr>
        <w:rFonts w:hint="default"/>
        <w:lang w:val="en-US" w:eastAsia="en-US" w:bidi="ar-SA"/>
      </w:rPr>
    </w:lvl>
    <w:lvl w:ilvl="4" w:tplc="6262A752">
      <w:numFmt w:val="bullet"/>
      <w:lvlText w:val="•"/>
      <w:lvlJc w:val="left"/>
      <w:pPr>
        <w:ind w:left="3816" w:hanging="360"/>
      </w:pPr>
      <w:rPr>
        <w:rFonts w:hint="default"/>
        <w:lang w:val="en-US" w:eastAsia="en-US" w:bidi="ar-SA"/>
      </w:rPr>
    </w:lvl>
    <w:lvl w:ilvl="5" w:tplc="74928C50">
      <w:numFmt w:val="bullet"/>
      <w:lvlText w:val="•"/>
      <w:lvlJc w:val="left"/>
      <w:pPr>
        <w:ind w:left="4680" w:hanging="360"/>
      </w:pPr>
      <w:rPr>
        <w:rFonts w:hint="default"/>
        <w:lang w:val="en-US" w:eastAsia="en-US" w:bidi="ar-SA"/>
      </w:rPr>
    </w:lvl>
    <w:lvl w:ilvl="6" w:tplc="42F2AC24">
      <w:numFmt w:val="bullet"/>
      <w:lvlText w:val="•"/>
      <w:lvlJc w:val="left"/>
      <w:pPr>
        <w:ind w:left="5544" w:hanging="360"/>
      </w:pPr>
      <w:rPr>
        <w:rFonts w:hint="default"/>
        <w:lang w:val="en-US" w:eastAsia="en-US" w:bidi="ar-SA"/>
      </w:rPr>
    </w:lvl>
    <w:lvl w:ilvl="7" w:tplc="60503CC4">
      <w:numFmt w:val="bullet"/>
      <w:lvlText w:val="•"/>
      <w:lvlJc w:val="left"/>
      <w:pPr>
        <w:ind w:left="6408" w:hanging="360"/>
      </w:pPr>
      <w:rPr>
        <w:rFonts w:hint="default"/>
        <w:lang w:val="en-US" w:eastAsia="en-US" w:bidi="ar-SA"/>
      </w:rPr>
    </w:lvl>
    <w:lvl w:ilvl="8" w:tplc="A52E5B48">
      <w:numFmt w:val="bullet"/>
      <w:lvlText w:val="•"/>
      <w:lvlJc w:val="left"/>
      <w:pPr>
        <w:ind w:left="7272" w:hanging="360"/>
      </w:pPr>
      <w:rPr>
        <w:rFonts w:hint="default"/>
        <w:lang w:val="en-US" w:eastAsia="en-US" w:bidi="ar-SA"/>
      </w:rPr>
    </w:lvl>
  </w:abstractNum>
  <w:abstractNum w:abstractNumId="2" w15:restartNumberingAfterBreak="0">
    <w:nsid w:val="149079DA"/>
    <w:multiLevelType w:val="hybridMultilevel"/>
    <w:tmpl w:val="421A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240F77"/>
    <w:multiLevelType w:val="hybridMultilevel"/>
    <w:tmpl w:val="1E8405F4"/>
    <w:lvl w:ilvl="0" w:tplc="17A09B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16746FF"/>
    <w:multiLevelType w:val="hybridMultilevel"/>
    <w:tmpl w:val="8AA68312"/>
    <w:lvl w:ilvl="0" w:tplc="A354554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35961E7"/>
    <w:multiLevelType w:val="hybridMultilevel"/>
    <w:tmpl w:val="2F02A420"/>
    <w:lvl w:ilvl="0" w:tplc="305CAE6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BB014A"/>
    <w:multiLevelType w:val="hybridMultilevel"/>
    <w:tmpl w:val="8FC8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0A4A48"/>
    <w:multiLevelType w:val="multilevel"/>
    <w:tmpl w:val="2684D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10A4220"/>
    <w:multiLevelType w:val="multilevel"/>
    <w:tmpl w:val="2684DD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54C7450"/>
    <w:multiLevelType w:val="hybridMultilevel"/>
    <w:tmpl w:val="42D67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062049"/>
    <w:multiLevelType w:val="hybridMultilevel"/>
    <w:tmpl w:val="5A329BCC"/>
    <w:lvl w:ilvl="0" w:tplc="D33C65F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693BA0"/>
    <w:multiLevelType w:val="multilevel"/>
    <w:tmpl w:val="49025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B536C0B"/>
    <w:multiLevelType w:val="hybridMultilevel"/>
    <w:tmpl w:val="3D6A936C"/>
    <w:lvl w:ilvl="0" w:tplc="B4BE6C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D4F1F97"/>
    <w:multiLevelType w:val="multilevel"/>
    <w:tmpl w:val="49025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DDE0BB3"/>
    <w:multiLevelType w:val="hybridMultilevel"/>
    <w:tmpl w:val="FEEAF408"/>
    <w:lvl w:ilvl="0" w:tplc="69FC7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FCE5EF4"/>
    <w:multiLevelType w:val="hybridMultilevel"/>
    <w:tmpl w:val="8E92EBF8"/>
    <w:lvl w:ilvl="0" w:tplc="7CEA94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5641262">
    <w:abstractNumId w:val="2"/>
  </w:num>
  <w:num w:numId="2" w16cid:durableId="503740204">
    <w:abstractNumId w:val="0"/>
  </w:num>
  <w:num w:numId="3" w16cid:durableId="1213543858">
    <w:abstractNumId w:val="9"/>
  </w:num>
  <w:num w:numId="4" w16cid:durableId="1235747116">
    <w:abstractNumId w:val="3"/>
  </w:num>
  <w:num w:numId="5" w16cid:durableId="669722610">
    <w:abstractNumId w:val="10"/>
  </w:num>
  <w:num w:numId="6" w16cid:durableId="1708137048">
    <w:abstractNumId w:val="5"/>
  </w:num>
  <w:num w:numId="7" w16cid:durableId="1275941512">
    <w:abstractNumId w:val="4"/>
  </w:num>
  <w:num w:numId="8" w16cid:durableId="30570469">
    <w:abstractNumId w:val="14"/>
  </w:num>
  <w:num w:numId="9" w16cid:durableId="2078433432">
    <w:abstractNumId w:val="12"/>
  </w:num>
  <w:num w:numId="10" w16cid:durableId="2007585985">
    <w:abstractNumId w:val="15"/>
  </w:num>
  <w:num w:numId="11" w16cid:durableId="626666716">
    <w:abstractNumId w:val="6"/>
  </w:num>
  <w:num w:numId="12" w16cid:durableId="798913876">
    <w:abstractNumId w:val="1"/>
  </w:num>
  <w:num w:numId="13" w16cid:durableId="1470912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7133186">
    <w:abstractNumId w:val="11"/>
  </w:num>
  <w:num w:numId="15" w16cid:durableId="1234855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2132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4A5"/>
    <w:rsid w:val="000001F7"/>
    <w:rsid w:val="00010784"/>
    <w:rsid w:val="000137BA"/>
    <w:rsid w:val="00025C00"/>
    <w:rsid w:val="000310AA"/>
    <w:rsid w:val="0004024F"/>
    <w:rsid w:val="0004693D"/>
    <w:rsid w:val="00050194"/>
    <w:rsid w:val="00051103"/>
    <w:rsid w:val="000626AC"/>
    <w:rsid w:val="00066300"/>
    <w:rsid w:val="0007533A"/>
    <w:rsid w:val="00076F87"/>
    <w:rsid w:val="000770DC"/>
    <w:rsid w:val="000817EB"/>
    <w:rsid w:val="000A38CD"/>
    <w:rsid w:val="000C3254"/>
    <w:rsid w:val="000C76EF"/>
    <w:rsid w:val="000F035F"/>
    <w:rsid w:val="00112453"/>
    <w:rsid w:val="001378B4"/>
    <w:rsid w:val="0013793F"/>
    <w:rsid w:val="00151B15"/>
    <w:rsid w:val="00165C3F"/>
    <w:rsid w:val="001774A5"/>
    <w:rsid w:val="00180170"/>
    <w:rsid w:val="001923B9"/>
    <w:rsid w:val="001C5E5B"/>
    <w:rsid w:val="001F1F26"/>
    <w:rsid w:val="00201640"/>
    <w:rsid w:val="00207883"/>
    <w:rsid w:val="00235710"/>
    <w:rsid w:val="00255D29"/>
    <w:rsid w:val="002700A8"/>
    <w:rsid w:val="00275096"/>
    <w:rsid w:val="00284D51"/>
    <w:rsid w:val="002B04B1"/>
    <w:rsid w:val="002B1FE1"/>
    <w:rsid w:val="002B4B60"/>
    <w:rsid w:val="002C03B8"/>
    <w:rsid w:val="002C23D0"/>
    <w:rsid w:val="002C259F"/>
    <w:rsid w:val="002D1ED3"/>
    <w:rsid w:val="00304046"/>
    <w:rsid w:val="00330FD9"/>
    <w:rsid w:val="00347858"/>
    <w:rsid w:val="00352AFB"/>
    <w:rsid w:val="00354755"/>
    <w:rsid w:val="0036620C"/>
    <w:rsid w:val="00382273"/>
    <w:rsid w:val="00393310"/>
    <w:rsid w:val="003C16D4"/>
    <w:rsid w:val="003C2BC0"/>
    <w:rsid w:val="003C54F9"/>
    <w:rsid w:val="004026D9"/>
    <w:rsid w:val="00420373"/>
    <w:rsid w:val="00466EF5"/>
    <w:rsid w:val="004966F3"/>
    <w:rsid w:val="004970AD"/>
    <w:rsid w:val="004D4082"/>
    <w:rsid w:val="004D4820"/>
    <w:rsid w:val="00513B5F"/>
    <w:rsid w:val="0051741B"/>
    <w:rsid w:val="00547AAF"/>
    <w:rsid w:val="00565F9D"/>
    <w:rsid w:val="00571184"/>
    <w:rsid w:val="0057332F"/>
    <w:rsid w:val="00574220"/>
    <w:rsid w:val="00585B94"/>
    <w:rsid w:val="00587F30"/>
    <w:rsid w:val="005B6972"/>
    <w:rsid w:val="005E34E2"/>
    <w:rsid w:val="005E7944"/>
    <w:rsid w:val="005F582E"/>
    <w:rsid w:val="006062E5"/>
    <w:rsid w:val="00615120"/>
    <w:rsid w:val="006216AC"/>
    <w:rsid w:val="00624947"/>
    <w:rsid w:val="00633D74"/>
    <w:rsid w:val="006343D3"/>
    <w:rsid w:val="00636FC3"/>
    <w:rsid w:val="006467F6"/>
    <w:rsid w:val="00672F31"/>
    <w:rsid w:val="00683847"/>
    <w:rsid w:val="00685EE5"/>
    <w:rsid w:val="006A6AED"/>
    <w:rsid w:val="006C07A0"/>
    <w:rsid w:val="006D76A7"/>
    <w:rsid w:val="006F4326"/>
    <w:rsid w:val="00703C21"/>
    <w:rsid w:val="00713C06"/>
    <w:rsid w:val="00721A83"/>
    <w:rsid w:val="00732DC0"/>
    <w:rsid w:val="00743965"/>
    <w:rsid w:val="00754E68"/>
    <w:rsid w:val="00760DC0"/>
    <w:rsid w:val="0076202F"/>
    <w:rsid w:val="007C498B"/>
    <w:rsid w:val="007D3901"/>
    <w:rsid w:val="007D4068"/>
    <w:rsid w:val="007D500B"/>
    <w:rsid w:val="007E128C"/>
    <w:rsid w:val="007F0135"/>
    <w:rsid w:val="008210D4"/>
    <w:rsid w:val="00823965"/>
    <w:rsid w:val="00831298"/>
    <w:rsid w:val="008319F1"/>
    <w:rsid w:val="0085204D"/>
    <w:rsid w:val="00873344"/>
    <w:rsid w:val="008775A6"/>
    <w:rsid w:val="008A1A97"/>
    <w:rsid w:val="008A4E63"/>
    <w:rsid w:val="008A56C0"/>
    <w:rsid w:val="008B14B2"/>
    <w:rsid w:val="008B4CFF"/>
    <w:rsid w:val="008D274C"/>
    <w:rsid w:val="008F2187"/>
    <w:rsid w:val="009032DF"/>
    <w:rsid w:val="00916F0F"/>
    <w:rsid w:val="00945DBB"/>
    <w:rsid w:val="00951D0E"/>
    <w:rsid w:val="00981CB8"/>
    <w:rsid w:val="00983166"/>
    <w:rsid w:val="0099370B"/>
    <w:rsid w:val="0099476C"/>
    <w:rsid w:val="009C0E76"/>
    <w:rsid w:val="009C1C29"/>
    <w:rsid w:val="009D349A"/>
    <w:rsid w:val="009D7086"/>
    <w:rsid w:val="009E71F2"/>
    <w:rsid w:val="009F544E"/>
    <w:rsid w:val="009F5B5B"/>
    <w:rsid w:val="00A03120"/>
    <w:rsid w:val="00A11AC4"/>
    <w:rsid w:val="00A32384"/>
    <w:rsid w:val="00A540F0"/>
    <w:rsid w:val="00A55F29"/>
    <w:rsid w:val="00A56E79"/>
    <w:rsid w:val="00A65201"/>
    <w:rsid w:val="00A6698C"/>
    <w:rsid w:val="00A679F2"/>
    <w:rsid w:val="00A8576A"/>
    <w:rsid w:val="00A97203"/>
    <w:rsid w:val="00AA7ADB"/>
    <w:rsid w:val="00AB1E78"/>
    <w:rsid w:val="00AD1FBC"/>
    <w:rsid w:val="00AD45B3"/>
    <w:rsid w:val="00AE1695"/>
    <w:rsid w:val="00AE2E30"/>
    <w:rsid w:val="00AE7F8C"/>
    <w:rsid w:val="00AF08EC"/>
    <w:rsid w:val="00B00CBC"/>
    <w:rsid w:val="00B14276"/>
    <w:rsid w:val="00B16BAD"/>
    <w:rsid w:val="00B40DAD"/>
    <w:rsid w:val="00B437D2"/>
    <w:rsid w:val="00B56D98"/>
    <w:rsid w:val="00B67469"/>
    <w:rsid w:val="00BB3DE5"/>
    <w:rsid w:val="00BB65C1"/>
    <w:rsid w:val="00BC22B5"/>
    <w:rsid w:val="00BC594E"/>
    <w:rsid w:val="00BF2A0D"/>
    <w:rsid w:val="00C101B5"/>
    <w:rsid w:val="00C105F0"/>
    <w:rsid w:val="00C11C3B"/>
    <w:rsid w:val="00C32166"/>
    <w:rsid w:val="00C4401D"/>
    <w:rsid w:val="00C45597"/>
    <w:rsid w:val="00C545A7"/>
    <w:rsid w:val="00C62F5D"/>
    <w:rsid w:val="00C7761A"/>
    <w:rsid w:val="00C85516"/>
    <w:rsid w:val="00CA06FF"/>
    <w:rsid w:val="00CB1A43"/>
    <w:rsid w:val="00CD5502"/>
    <w:rsid w:val="00D0122A"/>
    <w:rsid w:val="00D05D55"/>
    <w:rsid w:val="00D06F6C"/>
    <w:rsid w:val="00D071F7"/>
    <w:rsid w:val="00D13928"/>
    <w:rsid w:val="00D216EB"/>
    <w:rsid w:val="00D27E5C"/>
    <w:rsid w:val="00D346FC"/>
    <w:rsid w:val="00D5485E"/>
    <w:rsid w:val="00D76EBE"/>
    <w:rsid w:val="00D95388"/>
    <w:rsid w:val="00D9788C"/>
    <w:rsid w:val="00DC2EAB"/>
    <w:rsid w:val="00E05FC8"/>
    <w:rsid w:val="00E52448"/>
    <w:rsid w:val="00E62812"/>
    <w:rsid w:val="00E655E2"/>
    <w:rsid w:val="00E70BEC"/>
    <w:rsid w:val="00EB25D6"/>
    <w:rsid w:val="00EC0CFF"/>
    <w:rsid w:val="00EC5E3D"/>
    <w:rsid w:val="00ED4D1E"/>
    <w:rsid w:val="00EE4A97"/>
    <w:rsid w:val="00F06495"/>
    <w:rsid w:val="00F1368C"/>
    <w:rsid w:val="00F13B32"/>
    <w:rsid w:val="00F23EE9"/>
    <w:rsid w:val="00F24EC2"/>
    <w:rsid w:val="00F434AD"/>
    <w:rsid w:val="00F50159"/>
    <w:rsid w:val="00F72299"/>
    <w:rsid w:val="00F777B5"/>
    <w:rsid w:val="00F9081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2F31B"/>
  <w15:chartTrackingRefBased/>
  <w15:docId w15:val="{566C636D-7C18-4FD1-9601-7422FD5B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4A5"/>
    <w:pPr>
      <w:spacing w:after="0" w:line="276" w:lineRule="auto"/>
    </w:pPr>
    <w:rPr>
      <w:rFonts w:ascii="Arial" w:eastAsia="Arial" w:hAnsi="Arial" w:cs="Arial"/>
      <w:lang w:val="en"/>
    </w:rPr>
  </w:style>
  <w:style w:type="paragraph" w:styleId="Heading1">
    <w:name w:val="heading 1"/>
    <w:basedOn w:val="Normal"/>
    <w:link w:val="Heading1Char"/>
    <w:uiPriority w:val="9"/>
    <w:qFormat/>
    <w:rsid w:val="00A11AC4"/>
    <w:pPr>
      <w:widowControl w:val="0"/>
      <w:autoSpaceDE w:val="0"/>
      <w:autoSpaceDN w:val="0"/>
      <w:spacing w:line="240" w:lineRule="auto"/>
      <w:ind w:left="839" w:hanging="719"/>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4A5"/>
    <w:pPr>
      <w:ind w:left="720"/>
      <w:contextualSpacing/>
    </w:pPr>
  </w:style>
  <w:style w:type="character" w:styleId="Hyperlink">
    <w:name w:val="Hyperlink"/>
    <w:basedOn w:val="DefaultParagraphFont"/>
    <w:uiPriority w:val="99"/>
    <w:unhideWhenUsed/>
    <w:rsid w:val="001774A5"/>
    <w:rPr>
      <w:color w:val="0563C1" w:themeColor="hyperlink"/>
      <w:u w:val="single"/>
    </w:rPr>
  </w:style>
  <w:style w:type="character" w:styleId="UnresolvedMention">
    <w:name w:val="Unresolved Mention"/>
    <w:basedOn w:val="DefaultParagraphFont"/>
    <w:uiPriority w:val="99"/>
    <w:semiHidden/>
    <w:unhideWhenUsed/>
    <w:rsid w:val="001774A5"/>
    <w:rPr>
      <w:color w:val="605E5C"/>
      <w:shd w:val="clear" w:color="auto" w:fill="E1DFDD"/>
    </w:rPr>
  </w:style>
  <w:style w:type="paragraph" w:customStyle="1" w:styleId="Default">
    <w:name w:val="Default"/>
    <w:rsid w:val="00F06495"/>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06495"/>
    <w:pPr>
      <w:tabs>
        <w:tab w:val="center" w:pos="4680"/>
        <w:tab w:val="right" w:pos="9360"/>
      </w:tabs>
      <w:spacing w:line="240" w:lineRule="auto"/>
    </w:pPr>
  </w:style>
  <w:style w:type="character" w:customStyle="1" w:styleId="HeaderChar">
    <w:name w:val="Header Char"/>
    <w:basedOn w:val="DefaultParagraphFont"/>
    <w:link w:val="Header"/>
    <w:uiPriority w:val="99"/>
    <w:rsid w:val="00F06495"/>
    <w:rPr>
      <w:rFonts w:ascii="Arial" w:eastAsia="Arial" w:hAnsi="Arial" w:cs="Arial"/>
      <w:lang w:val="en"/>
    </w:rPr>
  </w:style>
  <w:style w:type="paragraph" w:styleId="Footer">
    <w:name w:val="footer"/>
    <w:basedOn w:val="Normal"/>
    <w:link w:val="FooterChar"/>
    <w:uiPriority w:val="99"/>
    <w:unhideWhenUsed/>
    <w:rsid w:val="00F06495"/>
    <w:pPr>
      <w:tabs>
        <w:tab w:val="center" w:pos="4680"/>
        <w:tab w:val="right" w:pos="9360"/>
      </w:tabs>
      <w:spacing w:line="240" w:lineRule="auto"/>
    </w:pPr>
  </w:style>
  <w:style w:type="character" w:customStyle="1" w:styleId="FooterChar">
    <w:name w:val="Footer Char"/>
    <w:basedOn w:val="DefaultParagraphFont"/>
    <w:link w:val="Footer"/>
    <w:uiPriority w:val="99"/>
    <w:rsid w:val="00F06495"/>
    <w:rPr>
      <w:rFonts w:ascii="Arial" w:eastAsia="Arial" w:hAnsi="Arial" w:cs="Arial"/>
      <w:lang w:val="en"/>
    </w:rPr>
  </w:style>
  <w:style w:type="table" w:styleId="TableGrid">
    <w:name w:val="Table Grid"/>
    <w:basedOn w:val="TableNormal"/>
    <w:uiPriority w:val="39"/>
    <w:rsid w:val="00A5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1AC4"/>
    <w:rPr>
      <w:rFonts w:ascii="Arial" w:eastAsia="Arial" w:hAnsi="Arial" w:cs="Arial"/>
      <w:b/>
      <w:bCs/>
    </w:rPr>
  </w:style>
  <w:style w:type="paragraph" w:customStyle="1" w:styleId="paragraph">
    <w:name w:val="paragraph"/>
    <w:basedOn w:val="Normal"/>
    <w:rsid w:val="00945D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587F30"/>
    <w:pPr>
      <w:widowControl w:val="0"/>
      <w:autoSpaceDE w:val="0"/>
      <w:autoSpaceDN w:val="0"/>
      <w:spacing w:line="240" w:lineRule="auto"/>
    </w:pPr>
    <w:rPr>
      <w:rFonts w:eastAsia="Times New Roman" w:cs="Times New Roman"/>
      <w:sz w:val="24"/>
      <w:szCs w:val="24"/>
      <w:lang w:val="en-US"/>
    </w:rPr>
  </w:style>
  <w:style w:type="character" w:customStyle="1" w:styleId="BodyTextChar">
    <w:name w:val="Body Text Char"/>
    <w:basedOn w:val="DefaultParagraphFont"/>
    <w:link w:val="BodyText"/>
    <w:uiPriority w:val="1"/>
    <w:rsid w:val="00587F30"/>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3478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75462">
      <w:bodyDiv w:val="1"/>
      <w:marLeft w:val="0"/>
      <w:marRight w:val="0"/>
      <w:marTop w:val="0"/>
      <w:marBottom w:val="0"/>
      <w:divBdr>
        <w:top w:val="none" w:sz="0" w:space="0" w:color="auto"/>
        <w:left w:val="none" w:sz="0" w:space="0" w:color="auto"/>
        <w:bottom w:val="none" w:sz="0" w:space="0" w:color="auto"/>
        <w:right w:val="none" w:sz="0" w:space="0" w:color="auto"/>
      </w:divBdr>
    </w:div>
    <w:div w:id="1518616787">
      <w:bodyDiv w:val="1"/>
      <w:marLeft w:val="0"/>
      <w:marRight w:val="0"/>
      <w:marTop w:val="0"/>
      <w:marBottom w:val="0"/>
      <w:divBdr>
        <w:top w:val="none" w:sz="0" w:space="0" w:color="auto"/>
        <w:left w:val="none" w:sz="0" w:space="0" w:color="auto"/>
        <w:bottom w:val="none" w:sz="0" w:space="0" w:color="auto"/>
        <w:right w:val="none" w:sz="0" w:space="0" w:color="auto"/>
      </w:divBdr>
      <w:divsChild>
        <w:div w:id="1423839258">
          <w:marLeft w:val="0"/>
          <w:marRight w:val="0"/>
          <w:marTop w:val="0"/>
          <w:marBottom w:val="0"/>
          <w:divBdr>
            <w:top w:val="none" w:sz="0" w:space="0" w:color="auto"/>
            <w:left w:val="none" w:sz="0" w:space="0" w:color="auto"/>
            <w:bottom w:val="none" w:sz="0" w:space="0" w:color="auto"/>
            <w:right w:val="none" w:sz="0" w:space="0" w:color="auto"/>
          </w:divBdr>
        </w:div>
        <w:div w:id="128275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oloscerritoswetlands.org/wp-content/uploads/2025/09/Item-09-Philbin-Contract-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han@rmc.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NxsAMtw0j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oloscerritoswetlands.org/wp-content/uploads/2025/09/Item-09-Philbin-Contract-1.pdf" TargetMode="External"/><Relationship Id="rId4" Type="http://schemas.openxmlformats.org/officeDocument/2006/relationships/settings" Target="settings.xml"/><Relationship Id="rId9" Type="http://schemas.openxmlformats.org/officeDocument/2006/relationships/hyperlink" Target="https://www.calhr.ca.gov/employees/pages/travelreimbursement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F7EB1-BF5A-48B6-854A-09D26661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3522</Characters>
  <Application>Microsoft Office Word</Application>
  <DocSecurity>0</DocSecurity>
  <Lines>59</Lines>
  <Paragraphs>27</Paragraphs>
  <ScaleCrop>false</ScaleCrop>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Salian Garcia</dc:creator>
  <cp:keywords/>
  <dc:description/>
  <cp:lastModifiedBy>Chad Oberly</cp:lastModifiedBy>
  <cp:revision>2</cp:revision>
  <dcterms:created xsi:type="dcterms:W3CDTF">2025-10-27T20:49:00Z</dcterms:created>
  <dcterms:modified xsi:type="dcterms:W3CDTF">2025-10-27T20:49:00Z</dcterms:modified>
</cp:coreProperties>
</file>